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93" w:rsidRDefault="004E5C93" w:rsidP="00B33063">
      <w:pPr>
        <w:ind w:firstLine="142"/>
        <w:jc w:val="center"/>
        <w:rPr>
          <w:rFonts w:ascii="Times New Roman" w:hAnsi="Times New Roman"/>
          <w:b/>
          <w:smallCaps/>
        </w:rPr>
      </w:pPr>
      <w:r>
        <w:rPr>
          <w:rFonts w:ascii="Times New Roman" w:hAnsi="Times New Roman"/>
          <w:b/>
          <w:smallCaps/>
        </w:rPr>
        <w:t xml:space="preserve">IV Domenica di Pasqua (Anno B) – </w:t>
      </w:r>
      <w:r w:rsidR="000F0C76">
        <w:rPr>
          <w:rFonts w:ascii="Times New Roman" w:hAnsi="Times New Roman"/>
          <w:b/>
          <w:smallCaps/>
        </w:rPr>
        <w:t>21</w:t>
      </w:r>
      <w:r>
        <w:rPr>
          <w:rFonts w:ascii="Times New Roman" w:hAnsi="Times New Roman"/>
          <w:b/>
          <w:smallCaps/>
        </w:rPr>
        <w:t xml:space="preserve"> aprile </w:t>
      </w:r>
      <w:r w:rsidR="000F0C76">
        <w:rPr>
          <w:rFonts w:ascii="Times New Roman" w:hAnsi="Times New Roman"/>
          <w:b/>
          <w:smallCaps/>
        </w:rPr>
        <w:t>2024</w:t>
      </w:r>
    </w:p>
    <w:p w:rsidR="004E5C93" w:rsidRPr="004E5C93" w:rsidRDefault="004E5C93" w:rsidP="00B33063">
      <w:pPr>
        <w:ind w:firstLine="142"/>
        <w:jc w:val="center"/>
        <w:rPr>
          <w:i/>
        </w:rPr>
      </w:pPr>
      <w:r>
        <w:rPr>
          <w:i/>
        </w:rPr>
        <w:t>Riflessione di d. Luca</w:t>
      </w:r>
    </w:p>
    <w:p w:rsidR="004E5C93" w:rsidRDefault="004E5C93" w:rsidP="00B33063">
      <w:pPr>
        <w:ind w:firstLine="142"/>
        <w:jc w:val="both"/>
        <w:rPr>
          <w:rFonts w:ascii="Times New Roman" w:hAnsi="Times New Roman"/>
          <w:b/>
        </w:rPr>
      </w:pPr>
    </w:p>
    <w:p w:rsidR="004E5C93" w:rsidRDefault="004E5C93" w:rsidP="00B33063">
      <w:pPr>
        <w:ind w:firstLine="142"/>
        <w:jc w:val="both"/>
        <w:rPr>
          <w:rFonts w:ascii="Times New Roman" w:hAnsi="Times New Roman"/>
        </w:rPr>
      </w:pPr>
      <w:r>
        <w:rPr>
          <w:rFonts w:ascii="Times New Roman" w:hAnsi="Times New Roman"/>
        </w:rPr>
        <w:t>Pe</w:t>
      </w:r>
      <w:r w:rsidR="000B1C36">
        <w:rPr>
          <w:rFonts w:ascii="Times New Roman" w:hAnsi="Times New Roman"/>
        </w:rPr>
        <w:t>r la terza domenica consecutiva</w:t>
      </w:r>
      <w:r>
        <w:rPr>
          <w:rFonts w:ascii="Times New Roman" w:hAnsi="Times New Roman"/>
        </w:rPr>
        <w:t xml:space="preserve"> l</w:t>
      </w:r>
      <w:r w:rsidR="006D679F">
        <w:rPr>
          <w:rFonts w:ascii="Times New Roman" w:hAnsi="Times New Roman"/>
        </w:rPr>
        <w:t>a liturgia si apre proponendoci</w:t>
      </w:r>
      <w:r>
        <w:rPr>
          <w:rFonts w:ascii="Times New Roman" w:hAnsi="Times New Roman"/>
        </w:rPr>
        <w:t xml:space="preserve"> dal libro degli A</w:t>
      </w:r>
      <w:r>
        <w:rPr>
          <w:rFonts w:ascii="Times New Roman" w:hAnsi="Times New Roman"/>
        </w:rPr>
        <w:t>t</w:t>
      </w:r>
      <w:r>
        <w:rPr>
          <w:rFonts w:ascii="Times New Roman" w:hAnsi="Times New Roman"/>
        </w:rPr>
        <w:t>ti</w:t>
      </w:r>
      <w:r w:rsidR="000B1C36">
        <w:rPr>
          <w:rFonts w:ascii="Times New Roman" w:hAnsi="Times New Roman"/>
        </w:rPr>
        <w:t xml:space="preserve"> degli Apostoli</w:t>
      </w:r>
      <w:r>
        <w:rPr>
          <w:rFonts w:ascii="Times New Roman" w:hAnsi="Times New Roman"/>
        </w:rPr>
        <w:t xml:space="preserve"> uno dei discorsi tenuti da Pietro dopo la resurrezione del Signore, della quale l’apostolo mette in luce le conseguenze per la</w:t>
      </w:r>
      <w:r w:rsidR="000B1C36">
        <w:rPr>
          <w:rFonts w:ascii="Times New Roman" w:hAnsi="Times New Roman"/>
        </w:rPr>
        <w:t xml:space="preserve"> nostra v</w:t>
      </w:r>
      <w:r w:rsidR="000B1C36">
        <w:rPr>
          <w:rFonts w:ascii="Times New Roman" w:hAnsi="Times New Roman"/>
        </w:rPr>
        <w:t>i</w:t>
      </w:r>
      <w:r w:rsidR="000B1C36">
        <w:rPr>
          <w:rFonts w:ascii="Times New Roman" w:hAnsi="Times New Roman"/>
        </w:rPr>
        <w:t>ta</w:t>
      </w:r>
      <w:r>
        <w:rPr>
          <w:rFonts w:ascii="Times New Roman" w:hAnsi="Times New Roman"/>
        </w:rPr>
        <w:t>. Siamo nella stessa situazione della domenica precedente; Pietro, dopo aver parlato alla folla, spi</w:t>
      </w:r>
      <w:r>
        <w:rPr>
          <w:rFonts w:ascii="Times New Roman" w:hAnsi="Times New Roman"/>
        </w:rPr>
        <w:t>e</w:t>
      </w:r>
      <w:r>
        <w:rPr>
          <w:rFonts w:ascii="Times New Roman" w:hAnsi="Times New Roman"/>
        </w:rPr>
        <w:t>ga di fronte al sinedrio il vero senso della guarigione del paralit</w:t>
      </w:r>
      <w:r>
        <w:rPr>
          <w:rFonts w:ascii="Times New Roman" w:hAnsi="Times New Roman"/>
        </w:rPr>
        <w:t>i</w:t>
      </w:r>
      <w:r>
        <w:rPr>
          <w:rFonts w:ascii="Times New Roman" w:hAnsi="Times New Roman"/>
        </w:rPr>
        <w:t>co, narrata all’inizio del capitolo 3. Sono però cambiati i destinatari: il sinedrio è l’organo di a</w:t>
      </w:r>
      <w:r>
        <w:rPr>
          <w:rFonts w:ascii="Times New Roman" w:hAnsi="Times New Roman"/>
        </w:rPr>
        <w:t>u</w:t>
      </w:r>
      <w:r>
        <w:rPr>
          <w:rFonts w:ascii="Times New Roman" w:hAnsi="Times New Roman"/>
        </w:rPr>
        <w:t>togoverno d’Israele, gli “anziani e capi del popolo” che dominavano la vita di Ger</w:t>
      </w:r>
      <w:r>
        <w:rPr>
          <w:rFonts w:ascii="Times New Roman" w:hAnsi="Times New Roman"/>
        </w:rPr>
        <w:t>u</w:t>
      </w:r>
      <w:r>
        <w:rPr>
          <w:rFonts w:ascii="Times New Roman" w:hAnsi="Times New Roman"/>
        </w:rPr>
        <w:t>salemme, pur sotto la spada delle legioni romane. Luca annota (At 4,1) che la ma</w:t>
      </w:r>
      <w:r>
        <w:rPr>
          <w:rFonts w:ascii="Times New Roman" w:hAnsi="Times New Roman"/>
        </w:rPr>
        <w:t>g</w:t>
      </w:r>
      <w:r>
        <w:rPr>
          <w:rFonts w:ascii="Times New Roman" w:hAnsi="Times New Roman"/>
        </w:rPr>
        <w:t>gior parte del sinedrio era formata da sadducei, cioè da persone appart</w:t>
      </w:r>
      <w:r>
        <w:rPr>
          <w:rFonts w:ascii="Times New Roman" w:hAnsi="Times New Roman"/>
        </w:rPr>
        <w:t>e</w:t>
      </w:r>
      <w:r>
        <w:rPr>
          <w:rFonts w:ascii="Times New Roman" w:hAnsi="Times New Roman"/>
        </w:rPr>
        <w:t>nenti ai ceti più elevati, un gruppo di nobili e ricchi fortemente tradizionalista sul p</w:t>
      </w:r>
      <w:r>
        <w:rPr>
          <w:rFonts w:ascii="Times New Roman" w:hAnsi="Times New Roman"/>
        </w:rPr>
        <w:t>i</w:t>
      </w:r>
      <w:r>
        <w:rPr>
          <w:rFonts w:ascii="Times New Roman" w:hAnsi="Times New Roman"/>
        </w:rPr>
        <w:t>ano religioso, os</w:t>
      </w:r>
      <w:r w:rsidR="000B1C36">
        <w:rPr>
          <w:rFonts w:ascii="Times New Roman" w:hAnsi="Times New Roman"/>
        </w:rPr>
        <w:t xml:space="preserve">tile ai farisei e politicamente </w:t>
      </w:r>
      <w:r>
        <w:rPr>
          <w:rFonts w:ascii="Times New Roman" w:hAnsi="Times New Roman"/>
        </w:rPr>
        <w:t>vicino ai Romani. Come anche altrove i Va</w:t>
      </w:r>
      <w:r w:rsidR="000B1C36">
        <w:rPr>
          <w:rFonts w:ascii="Times New Roman" w:hAnsi="Times New Roman"/>
        </w:rPr>
        <w:t>ngeli ci r</w:t>
      </w:r>
      <w:r w:rsidR="000B1C36">
        <w:rPr>
          <w:rFonts w:ascii="Times New Roman" w:hAnsi="Times New Roman"/>
        </w:rPr>
        <w:t>i</w:t>
      </w:r>
      <w:r w:rsidR="000B1C36">
        <w:rPr>
          <w:rFonts w:ascii="Times New Roman" w:hAnsi="Times New Roman"/>
        </w:rPr>
        <w:t>cordano (Mt 22,23-33</w:t>
      </w:r>
      <w:r>
        <w:rPr>
          <w:rFonts w:ascii="Times New Roman" w:hAnsi="Times New Roman"/>
        </w:rPr>
        <w:t>), i sadducei si opponevano alla fede nella resurrezione, sviluppatasi in Isra</w:t>
      </w:r>
      <w:r>
        <w:rPr>
          <w:rFonts w:ascii="Times New Roman" w:hAnsi="Times New Roman"/>
        </w:rPr>
        <w:t>e</w:t>
      </w:r>
      <w:r>
        <w:rPr>
          <w:rFonts w:ascii="Times New Roman" w:hAnsi="Times New Roman"/>
        </w:rPr>
        <w:t>le a partire dal II sec. a</w:t>
      </w:r>
      <w:r w:rsidR="006D679F">
        <w:rPr>
          <w:rFonts w:ascii="Times New Roman" w:hAnsi="Times New Roman"/>
        </w:rPr>
        <w:t>.C. e sostenuta dai farisei (cf</w:t>
      </w:r>
      <w:r>
        <w:rPr>
          <w:rFonts w:ascii="Times New Roman" w:hAnsi="Times New Roman"/>
        </w:rPr>
        <w:t>. At 23,8-9). Ma la ragione per la quale i sadducei si oppongono agli apostoli non è se</w:t>
      </w:r>
      <w:r>
        <w:rPr>
          <w:rFonts w:ascii="Times New Roman" w:hAnsi="Times New Roman"/>
        </w:rPr>
        <w:t>m</w:t>
      </w:r>
      <w:r>
        <w:rPr>
          <w:rFonts w:ascii="Times New Roman" w:hAnsi="Times New Roman"/>
        </w:rPr>
        <w:t>plicemente d’ordine dottrinale; com’è chiaro dalla loro risposta al discorso di Pietro (4,13-18), i sadducei vedono n</w:t>
      </w:r>
      <w:r>
        <w:rPr>
          <w:rFonts w:ascii="Times New Roman" w:hAnsi="Times New Roman"/>
        </w:rPr>
        <w:t>e</w:t>
      </w:r>
      <w:r>
        <w:rPr>
          <w:rFonts w:ascii="Times New Roman" w:hAnsi="Times New Roman"/>
        </w:rPr>
        <w:t>gli apostoli un grave pericolo per la loro autorità; ma all’opposizione e al rifiuto dei potenti si contrappongono</w:t>
      </w:r>
      <w:r w:rsidR="000F0C76">
        <w:rPr>
          <w:rFonts w:ascii="Times New Roman" w:hAnsi="Times New Roman"/>
        </w:rPr>
        <w:t xml:space="preserve"> qui</w:t>
      </w:r>
      <w:r>
        <w:rPr>
          <w:rFonts w:ascii="Times New Roman" w:hAnsi="Times New Roman"/>
        </w:rPr>
        <w:t xml:space="preserve"> la fede e il coraggio dei pi</w:t>
      </w:r>
      <w:r>
        <w:rPr>
          <w:rFonts w:ascii="Times New Roman" w:hAnsi="Times New Roman"/>
        </w:rPr>
        <w:t>c</w:t>
      </w:r>
      <w:r>
        <w:rPr>
          <w:rFonts w:ascii="Times New Roman" w:hAnsi="Times New Roman"/>
        </w:rPr>
        <w:t>coli. Questo è il contesto nel quale collocare il discorso di Pietro; c’è da chiedersi se ancora oggi persista, pe</w:t>
      </w:r>
      <w:r>
        <w:rPr>
          <w:rFonts w:ascii="Times New Roman" w:hAnsi="Times New Roman"/>
        </w:rPr>
        <w:t>r</w:t>
      </w:r>
      <w:r>
        <w:rPr>
          <w:rFonts w:ascii="Times New Roman" w:hAnsi="Times New Roman"/>
        </w:rPr>
        <w:t xml:space="preserve">sino nella Chiesa, </w:t>
      </w:r>
      <w:r w:rsidR="000B1C36">
        <w:rPr>
          <w:rFonts w:ascii="Times New Roman" w:hAnsi="Times New Roman"/>
        </w:rPr>
        <w:t>una</w:t>
      </w:r>
      <w:r>
        <w:rPr>
          <w:rFonts w:ascii="Times New Roman" w:hAnsi="Times New Roman"/>
        </w:rPr>
        <w:t xml:space="preserve"> mentalità </w:t>
      </w:r>
      <w:r w:rsidR="004C12C0">
        <w:rPr>
          <w:rFonts w:ascii="Times New Roman" w:hAnsi="Times New Roman"/>
        </w:rPr>
        <w:t>“</w:t>
      </w:r>
      <w:r>
        <w:rPr>
          <w:rFonts w:ascii="Times New Roman" w:hAnsi="Times New Roman"/>
        </w:rPr>
        <w:t>sadducea</w:t>
      </w:r>
      <w:r w:rsidR="004C12C0">
        <w:rPr>
          <w:rFonts w:ascii="Times New Roman" w:hAnsi="Times New Roman"/>
        </w:rPr>
        <w:t xml:space="preserve">” </w:t>
      </w:r>
      <w:r>
        <w:rPr>
          <w:rFonts w:ascii="Times New Roman" w:hAnsi="Times New Roman"/>
        </w:rPr>
        <w:t>di chi vuole zittire il Vangelo, perché vi scorge un ostacolo al mantenimento di un potere che a</w:t>
      </w:r>
      <w:r>
        <w:rPr>
          <w:rFonts w:ascii="Times New Roman" w:hAnsi="Times New Roman"/>
        </w:rPr>
        <w:t>l</w:t>
      </w:r>
      <w:r>
        <w:rPr>
          <w:rFonts w:ascii="Times New Roman" w:hAnsi="Times New Roman"/>
        </w:rPr>
        <w:t>trimenti cadrebbe.</w:t>
      </w:r>
    </w:p>
    <w:p w:rsidR="004E5C93" w:rsidRDefault="004E5C93" w:rsidP="00B33063">
      <w:pPr>
        <w:ind w:firstLine="142"/>
        <w:jc w:val="both"/>
        <w:rPr>
          <w:rFonts w:ascii="Times New Roman" w:hAnsi="Times New Roman"/>
        </w:rPr>
      </w:pPr>
      <w:r>
        <w:rPr>
          <w:rFonts w:ascii="Times New Roman" w:hAnsi="Times New Roman"/>
        </w:rPr>
        <w:t xml:space="preserve">La preoccupazione di Pietro è, a prima vista, </w:t>
      </w:r>
      <w:r w:rsidR="000B1C36">
        <w:rPr>
          <w:rFonts w:ascii="Times New Roman" w:hAnsi="Times New Roman"/>
        </w:rPr>
        <w:t xml:space="preserve">quella di </w:t>
      </w:r>
      <w:r>
        <w:rPr>
          <w:rFonts w:ascii="Times New Roman" w:hAnsi="Times New Roman"/>
        </w:rPr>
        <w:t>spiegare che cosa o chi è stato la causa della guarigione del paralitico. Ma l’episodio diviene occasione per procl</w:t>
      </w:r>
      <w:r>
        <w:rPr>
          <w:rFonts w:ascii="Times New Roman" w:hAnsi="Times New Roman"/>
        </w:rPr>
        <w:t>a</w:t>
      </w:r>
      <w:r>
        <w:rPr>
          <w:rFonts w:ascii="Times New Roman" w:hAnsi="Times New Roman"/>
        </w:rPr>
        <w:t>mare un messaggio più grande: la salvezza dello storpio è un effetto della resurrezi</w:t>
      </w:r>
      <w:r>
        <w:rPr>
          <w:rFonts w:ascii="Times New Roman" w:hAnsi="Times New Roman"/>
        </w:rPr>
        <w:t>o</w:t>
      </w:r>
      <w:r>
        <w:rPr>
          <w:rFonts w:ascii="Times New Roman" w:hAnsi="Times New Roman"/>
        </w:rPr>
        <w:t>ne di Cristo; non si tratta, più, ormai, di pensare a quel miracolo, ma di dedurne il fa</w:t>
      </w:r>
      <w:r>
        <w:rPr>
          <w:rFonts w:ascii="Times New Roman" w:hAnsi="Times New Roman"/>
        </w:rPr>
        <w:t>t</w:t>
      </w:r>
      <w:r>
        <w:rPr>
          <w:rFonts w:ascii="Times New Roman" w:hAnsi="Times New Roman"/>
        </w:rPr>
        <w:t>to che “in nessun altro c’è salvezza”</w:t>
      </w:r>
      <w:r w:rsidR="000F0C76">
        <w:rPr>
          <w:rFonts w:ascii="Times New Roman" w:hAnsi="Times New Roman"/>
        </w:rPr>
        <w:t>, se non appunto in Gesù</w:t>
      </w:r>
      <w:r>
        <w:rPr>
          <w:rFonts w:ascii="Times New Roman" w:hAnsi="Times New Roman"/>
        </w:rPr>
        <w:t xml:space="preserve">. </w:t>
      </w:r>
    </w:p>
    <w:p w:rsidR="004E5C93" w:rsidRDefault="004E5C93" w:rsidP="00B33063">
      <w:pPr>
        <w:ind w:firstLine="142"/>
        <w:jc w:val="both"/>
        <w:rPr>
          <w:rFonts w:ascii="Times New Roman" w:hAnsi="Times New Roman"/>
          <w:b/>
        </w:rPr>
      </w:pPr>
    </w:p>
    <w:p w:rsidR="00D479DF" w:rsidRDefault="004E5C93" w:rsidP="00B33063">
      <w:pPr>
        <w:ind w:firstLine="142"/>
        <w:jc w:val="both"/>
        <w:rPr>
          <w:rFonts w:ascii="Times New Roman" w:hAnsi="Times New Roman"/>
        </w:rPr>
      </w:pPr>
      <w:r>
        <w:rPr>
          <w:rFonts w:ascii="Times New Roman" w:hAnsi="Times New Roman"/>
        </w:rPr>
        <w:t xml:space="preserve">Questo è dunque il messaggio più importante che emerge dalla prima lettura. </w:t>
      </w:r>
      <w:r w:rsidR="000B1C36">
        <w:rPr>
          <w:rFonts w:ascii="Times New Roman" w:hAnsi="Times New Roman"/>
        </w:rPr>
        <w:t>Luca</w:t>
      </w:r>
      <w:r>
        <w:rPr>
          <w:rFonts w:ascii="Times New Roman" w:hAnsi="Times New Roman"/>
        </w:rPr>
        <w:t xml:space="preserve"> usa spesso il vocabolario della salvezza in relazione a Gesù, che per quattro volte</w:t>
      </w:r>
      <w:r w:rsidR="000F0C76">
        <w:rPr>
          <w:rFonts w:ascii="Times New Roman" w:hAnsi="Times New Roman"/>
        </w:rPr>
        <w:t xml:space="preserve"> nel suo vangelo</w:t>
      </w:r>
      <w:r w:rsidR="000B1C36">
        <w:rPr>
          <w:rFonts w:ascii="Times New Roman" w:hAnsi="Times New Roman"/>
        </w:rPr>
        <w:t xml:space="preserve"> </w:t>
      </w:r>
      <w:r>
        <w:rPr>
          <w:rFonts w:ascii="Times New Roman" w:hAnsi="Times New Roman"/>
        </w:rPr>
        <w:t xml:space="preserve">è chiamato </w:t>
      </w:r>
      <w:r w:rsidR="004C12C0">
        <w:rPr>
          <w:rFonts w:ascii="Times New Roman" w:hAnsi="Times New Roman"/>
        </w:rPr>
        <w:t>“</w:t>
      </w:r>
      <w:r>
        <w:rPr>
          <w:rFonts w:ascii="Times New Roman" w:hAnsi="Times New Roman"/>
        </w:rPr>
        <w:t>salvatore</w:t>
      </w:r>
      <w:r w:rsidR="004C12C0">
        <w:rPr>
          <w:rFonts w:ascii="Times New Roman" w:hAnsi="Times New Roman"/>
        </w:rPr>
        <w:t>”</w:t>
      </w:r>
      <w:r>
        <w:rPr>
          <w:rFonts w:ascii="Times New Roman" w:hAnsi="Times New Roman"/>
        </w:rPr>
        <w:t xml:space="preserve">; per Luca, infatti, fin dall’inizio del vangelo (Lc 2,10), la venuta di Gesù è la risposta al bisogno di salvezza che ogni </w:t>
      </w:r>
      <w:r w:rsidR="000F0C76">
        <w:rPr>
          <w:rFonts w:ascii="Times New Roman" w:hAnsi="Times New Roman"/>
        </w:rPr>
        <w:t>essere umano</w:t>
      </w:r>
      <w:r>
        <w:rPr>
          <w:rFonts w:ascii="Times New Roman" w:hAnsi="Times New Roman"/>
        </w:rPr>
        <w:t xml:space="preserve"> porta de</w:t>
      </w:r>
      <w:r>
        <w:rPr>
          <w:rFonts w:ascii="Times New Roman" w:hAnsi="Times New Roman"/>
        </w:rPr>
        <w:t>n</w:t>
      </w:r>
      <w:r>
        <w:rPr>
          <w:rFonts w:ascii="Times New Roman" w:hAnsi="Times New Roman"/>
        </w:rPr>
        <w:t xml:space="preserve">tro di sé: salvezza dalla malattia, dall’oppressione, dal peccato, dalla morte. In questo brano degli Atti, la salvezza viene </w:t>
      </w:r>
      <w:r w:rsidR="000B1C36">
        <w:rPr>
          <w:rFonts w:ascii="Times New Roman" w:hAnsi="Times New Roman"/>
        </w:rPr>
        <w:t>strettamente</w:t>
      </w:r>
      <w:r>
        <w:rPr>
          <w:rFonts w:ascii="Times New Roman" w:hAnsi="Times New Roman"/>
        </w:rPr>
        <w:t xml:space="preserve"> legata alla persona di Cristo; questo è il senso della frase pronunziata da Pietro: “in nessun altro c’è salvezza”. </w:t>
      </w:r>
      <w:r w:rsidR="000B1C36">
        <w:rPr>
          <w:rFonts w:ascii="Times New Roman" w:hAnsi="Times New Roman"/>
        </w:rPr>
        <w:t>A</w:t>
      </w:r>
      <w:r w:rsidR="000B1C36">
        <w:rPr>
          <w:rFonts w:ascii="Times New Roman" w:hAnsi="Times New Roman"/>
        </w:rPr>
        <w:t>t</w:t>
      </w:r>
      <w:r w:rsidR="000B1C36">
        <w:rPr>
          <w:rFonts w:ascii="Times New Roman" w:hAnsi="Times New Roman"/>
        </w:rPr>
        <w:t>tenzione: la</w:t>
      </w:r>
      <w:r>
        <w:rPr>
          <w:rFonts w:ascii="Times New Roman" w:hAnsi="Times New Roman"/>
        </w:rPr>
        <w:t xml:space="preserve"> salvezza</w:t>
      </w:r>
      <w:r w:rsidR="000B1C36">
        <w:rPr>
          <w:rFonts w:ascii="Times New Roman" w:hAnsi="Times New Roman"/>
        </w:rPr>
        <w:t xml:space="preserve"> </w:t>
      </w:r>
      <w:r>
        <w:rPr>
          <w:rFonts w:ascii="Times New Roman" w:hAnsi="Times New Roman"/>
        </w:rPr>
        <w:t xml:space="preserve">non è </w:t>
      </w:r>
      <w:r w:rsidR="000B1C36">
        <w:rPr>
          <w:rFonts w:ascii="Times New Roman" w:hAnsi="Times New Roman"/>
        </w:rPr>
        <w:t>realizzata</w:t>
      </w:r>
      <w:r>
        <w:rPr>
          <w:rFonts w:ascii="Times New Roman" w:hAnsi="Times New Roman"/>
        </w:rPr>
        <w:t xml:space="preserve"> dalla </w:t>
      </w:r>
      <w:r w:rsidR="000B1C36">
        <w:rPr>
          <w:rFonts w:ascii="Times New Roman" w:hAnsi="Times New Roman"/>
        </w:rPr>
        <w:t>c</w:t>
      </w:r>
      <w:r>
        <w:rPr>
          <w:rFonts w:ascii="Times New Roman" w:hAnsi="Times New Roman"/>
        </w:rPr>
        <w:t>hiesa, né consiste nella semplice appa</w:t>
      </w:r>
      <w:r>
        <w:rPr>
          <w:rFonts w:ascii="Times New Roman" w:hAnsi="Times New Roman"/>
        </w:rPr>
        <w:t>r</w:t>
      </w:r>
      <w:r>
        <w:rPr>
          <w:rFonts w:ascii="Times New Roman" w:hAnsi="Times New Roman"/>
        </w:rPr>
        <w:t xml:space="preserve">tenza alla </w:t>
      </w:r>
      <w:r w:rsidR="000B1C36">
        <w:rPr>
          <w:rFonts w:ascii="Times New Roman" w:hAnsi="Times New Roman"/>
        </w:rPr>
        <w:t>c</w:t>
      </w:r>
      <w:r>
        <w:rPr>
          <w:rFonts w:ascii="Times New Roman" w:hAnsi="Times New Roman"/>
        </w:rPr>
        <w:t>hi</w:t>
      </w:r>
      <w:r>
        <w:rPr>
          <w:rFonts w:ascii="Times New Roman" w:hAnsi="Times New Roman"/>
        </w:rPr>
        <w:t>e</w:t>
      </w:r>
      <w:r>
        <w:rPr>
          <w:rFonts w:ascii="Times New Roman" w:hAnsi="Times New Roman"/>
        </w:rPr>
        <w:t xml:space="preserve">sa, ma è operata da Cristo: “Gli uomini si salvano </w:t>
      </w:r>
      <w:r>
        <w:rPr>
          <w:rFonts w:ascii="Times New Roman" w:hAnsi="Times New Roman"/>
          <w:i/>
        </w:rPr>
        <w:t>mediante</w:t>
      </w:r>
      <w:r>
        <w:rPr>
          <w:rFonts w:ascii="Times New Roman" w:hAnsi="Times New Roman"/>
        </w:rPr>
        <w:t xml:space="preserve"> la Chiesa, si salvano </w:t>
      </w:r>
      <w:r>
        <w:rPr>
          <w:rFonts w:ascii="Times New Roman" w:hAnsi="Times New Roman"/>
          <w:i/>
        </w:rPr>
        <w:t>ne</w:t>
      </w:r>
      <w:r>
        <w:rPr>
          <w:rFonts w:ascii="Times New Roman" w:hAnsi="Times New Roman"/>
          <w:i/>
        </w:rPr>
        <w:t>l</w:t>
      </w:r>
      <w:r>
        <w:rPr>
          <w:rFonts w:ascii="Times New Roman" w:hAnsi="Times New Roman"/>
          <w:i/>
        </w:rPr>
        <w:t>la</w:t>
      </w:r>
      <w:r>
        <w:rPr>
          <w:rFonts w:ascii="Times New Roman" w:hAnsi="Times New Roman"/>
        </w:rPr>
        <w:t xml:space="preserve"> Chiesa, ma sempre si salvano </w:t>
      </w:r>
      <w:r>
        <w:rPr>
          <w:rFonts w:ascii="Times New Roman" w:hAnsi="Times New Roman"/>
          <w:i/>
        </w:rPr>
        <w:t>grazie a Cristo</w:t>
      </w:r>
      <w:r>
        <w:rPr>
          <w:rFonts w:ascii="Times New Roman" w:hAnsi="Times New Roman"/>
        </w:rPr>
        <w:t xml:space="preserve">” (Giovanni Paolo II, </w:t>
      </w:r>
      <w:r>
        <w:rPr>
          <w:rFonts w:ascii="Times New Roman" w:hAnsi="Times New Roman"/>
          <w:i/>
        </w:rPr>
        <w:t>Varcare le soglie della speranza</w:t>
      </w:r>
      <w:r>
        <w:rPr>
          <w:rFonts w:ascii="Times New Roman" w:hAnsi="Times New Roman"/>
        </w:rPr>
        <w:t>). Il testo degli Atti vuole sottolineare come la sa</w:t>
      </w:r>
      <w:r>
        <w:rPr>
          <w:rFonts w:ascii="Times New Roman" w:hAnsi="Times New Roman"/>
        </w:rPr>
        <w:t>l</w:t>
      </w:r>
      <w:r>
        <w:rPr>
          <w:rFonts w:ascii="Times New Roman" w:hAnsi="Times New Roman"/>
        </w:rPr>
        <w:t>vezza non po</w:t>
      </w:r>
      <w:r>
        <w:rPr>
          <w:rFonts w:ascii="Times New Roman" w:hAnsi="Times New Roman"/>
        </w:rPr>
        <w:t>s</w:t>
      </w:r>
      <w:r>
        <w:rPr>
          <w:rFonts w:ascii="Times New Roman" w:hAnsi="Times New Roman"/>
        </w:rPr>
        <w:t>sa passare da altri se non da Gesù Cristo. Il problema della salvezza è allora strett</w:t>
      </w:r>
      <w:r>
        <w:rPr>
          <w:rFonts w:ascii="Times New Roman" w:hAnsi="Times New Roman"/>
        </w:rPr>
        <w:t>a</w:t>
      </w:r>
      <w:r>
        <w:rPr>
          <w:rFonts w:ascii="Times New Roman" w:hAnsi="Times New Roman"/>
        </w:rPr>
        <w:t>mente legato all’accoglienza o al rifiuto del Signore; questo è il contesto nel quale Pietro pronunzia il suo discorso; si legga anche il ritornello del Sal 118 sul rifiuto della “pietra angolare”</w:t>
      </w:r>
      <w:r w:rsidR="004C12C0">
        <w:rPr>
          <w:rFonts w:ascii="Times New Roman" w:hAnsi="Times New Roman"/>
        </w:rPr>
        <w:t xml:space="preserve"> scar</w:t>
      </w:r>
      <w:r w:rsidR="006D679F">
        <w:rPr>
          <w:rFonts w:ascii="Times New Roman" w:hAnsi="Times New Roman"/>
        </w:rPr>
        <w:t>t</w:t>
      </w:r>
      <w:r w:rsidR="004C12C0">
        <w:rPr>
          <w:rFonts w:ascii="Times New Roman" w:hAnsi="Times New Roman"/>
        </w:rPr>
        <w:t>ata dai costruttori</w:t>
      </w:r>
      <w:r>
        <w:rPr>
          <w:rFonts w:ascii="Times New Roman" w:hAnsi="Times New Roman"/>
        </w:rPr>
        <w:t>, che, nella prospettiva</w:t>
      </w:r>
      <w:r w:rsidR="006D679F">
        <w:rPr>
          <w:rFonts w:ascii="Times New Roman" w:hAnsi="Times New Roman"/>
        </w:rPr>
        <w:t xml:space="preserve"> offerta</w:t>
      </w:r>
      <w:r>
        <w:rPr>
          <w:rFonts w:ascii="Times New Roman" w:hAnsi="Times New Roman"/>
        </w:rPr>
        <w:t xml:space="preserve"> d</w:t>
      </w:r>
      <w:r w:rsidR="006D679F">
        <w:rPr>
          <w:rFonts w:ascii="Times New Roman" w:hAnsi="Times New Roman"/>
        </w:rPr>
        <w:t>a</w:t>
      </w:r>
      <w:r>
        <w:rPr>
          <w:rFonts w:ascii="Times New Roman" w:hAnsi="Times New Roman"/>
        </w:rPr>
        <w:t>lla liturgia, è Cristo ste</w:t>
      </w:r>
      <w:r>
        <w:rPr>
          <w:rFonts w:ascii="Times New Roman" w:hAnsi="Times New Roman"/>
        </w:rPr>
        <w:t>s</w:t>
      </w:r>
      <w:r>
        <w:rPr>
          <w:rFonts w:ascii="Times New Roman" w:hAnsi="Times New Roman"/>
        </w:rPr>
        <w:t>so.</w:t>
      </w:r>
    </w:p>
    <w:p w:rsidR="004E5C93" w:rsidRDefault="004E5C93" w:rsidP="00B33063">
      <w:pPr>
        <w:ind w:firstLine="142"/>
        <w:jc w:val="both"/>
        <w:rPr>
          <w:rFonts w:ascii="Times New Roman" w:hAnsi="Times New Roman"/>
        </w:rPr>
      </w:pPr>
    </w:p>
    <w:p w:rsidR="00D479DF" w:rsidRDefault="00D479DF" w:rsidP="00D479DF">
      <w:pPr>
        <w:ind w:firstLine="142"/>
        <w:jc w:val="both"/>
        <w:rPr>
          <w:rFonts w:ascii="Times New Roman" w:hAnsi="Times New Roman"/>
        </w:rPr>
      </w:pPr>
      <w:r>
        <w:rPr>
          <w:rFonts w:ascii="Times New Roman" w:hAnsi="Times New Roman"/>
        </w:rPr>
        <w:t>Il tema della salvezza è approfondito nella brevissima seconda lettura. Quella di Giovanni non è un’esortazione, ma un’esclamazione ammirata della nuova realtà che il cristiano è diventato: siamo realmente figli di Dio! Anche in questo caso, come per il discorso di Pietro, non è assente lo stupore per l’aspetto opposto: il rifiuto, da parte del “mondo”, di riconoscere tale novità.</w:t>
      </w:r>
    </w:p>
    <w:p w:rsidR="00D479DF" w:rsidRDefault="00D479DF" w:rsidP="00D479DF">
      <w:pPr>
        <w:ind w:firstLine="142"/>
        <w:jc w:val="both"/>
        <w:rPr>
          <w:rFonts w:ascii="Times New Roman" w:hAnsi="Times New Roman"/>
        </w:rPr>
      </w:pPr>
      <w:r>
        <w:rPr>
          <w:rFonts w:ascii="Times New Roman" w:hAnsi="Times New Roman"/>
        </w:rPr>
        <w:t>Alla base del testo della prima lettera di Giovanni sta il riconoscimento dell’azione del Padre: “vedete quale grande amore ci ha dato il Padre”. Giovanni, alludendo alla nuova situazione di vita creata dal Battesimo, pone in parallelo la scoperta dell’amore del Padre con la consapevolezza del sentirsi suoi figli. L’essere figli, poi, è qualcosa che vale sin da questa vita (“noi fin d’ora siamo figli di Dio”), ma che apre l’uomo a una prospettiva che va ben oltre la morte (“ma ciò che saremo non ci è stato ancora rivelato”) e rivela così la possibilità di una comunione piena con Dio (“noi saremo simili a lui, perché lo vedremo così come egli è”).</w:t>
      </w:r>
    </w:p>
    <w:p w:rsidR="00D479DF" w:rsidRDefault="00D479DF" w:rsidP="00D479DF">
      <w:pPr>
        <w:ind w:firstLine="142"/>
        <w:jc w:val="both"/>
        <w:rPr>
          <w:rFonts w:ascii="Times New Roman" w:hAnsi="Times New Roman"/>
        </w:rPr>
      </w:pPr>
      <w:r>
        <w:rPr>
          <w:rFonts w:ascii="Times New Roman" w:hAnsi="Times New Roman"/>
        </w:rPr>
        <w:t>All’interno della riflessione sulla salvezza, che è al centro di questa quarta domenica di Pasqua, compare in tal modo la prospettiva della vita futura: troppo spesso il cr</w:t>
      </w:r>
      <w:r>
        <w:rPr>
          <w:rFonts w:ascii="Times New Roman" w:hAnsi="Times New Roman"/>
        </w:rPr>
        <w:t>i</w:t>
      </w:r>
      <w:r>
        <w:rPr>
          <w:rFonts w:ascii="Times New Roman" w:hAnsi="Times New Roman"/>
        </w:rPr>
        <w:t>stianesimo ha dimenticato questa tensione verso il futuro, che, se da un lato si tr</w:t>
      </w:r>
      <w:r>
        <w:rPr>
          <w:rFonts w:ascii="Times New Roman" w:hAnsi="Times New Roman"/>
        </w:rPr>
        <w:t>a</w:t>
      </w:r>
      <w:r>
        <w:rPr>
          <w:rFonts w:ascii="Times New Roman" w:hAnsi="Times New Roman"/>
        </w:rPr>
        <w:t>sforma in speranza e fiducia, dall’altro relativizza molti dei nostri progetti sui quali ci basiamo con eccessiva sicurezza. La prospettiva della vita futura è così un incora</w:t>
      </w:r>
      <w:r>
        <w:rPr>
          <w:rFonts w:ascii="Times New Roman" w:hAnsi="Times New Roman"/>
        </w:rPr>
        <w:t>g</w:t>
      </w:r>
      <w:r>
        <w:rPr>
          <w:rFonts w:ascii="Times New Roman" w:hAnsi="Times New Roman"/>
        </w:rPr>
        <w:t>giamento a proseguire il cammino, pur tra difficoltà e rifiuti, sapendo che il Signore non lascerà andare a vuoto i nostri sforzi, ma diviene anche un invito a non illuderci che il nostro impegno di chiesa, specialmente in relazione al mondo, si possa in qua</w:t>
      </w:r>
      <w:r>
        <w:rPr>
          <w:rFonts w:ascii="Times New Roman" w:hAnsi="Times New Roman"/>
        </w:rPr>
        <w:t>l</w:t>
      </w:r>
      <w:r>
        <w:rPr>
          <w:rFonts w:ascii="Times New Roman" w:hAnsi="Times New Roman"/>
        </w:rPr>
        <w:t>che modo identificare con il Regno di Dio, la cui realtà (“vedere Dio così come egli è”) supera ogni nostra attesa.</w:t>
      </w:r>
    </w:p>
    <w:p w:rsidR="004E5C93" w:rsidRDefault="004E5C93" w:rsidP="00D479DF">
      <w:pPr>
        <w:jc w:val="both"/>
        <w:rPr>
          <w:rFonts w:ascii="Times New Roman" w:hAnsi="Times New Roman"/>
          <w:b/>
        </w:rPr>
      </w:pPr>
    </w:p>
    <w:p w:rsidR="004E5C93" w:rsidRDefault="004E5C93" w:rsidP="00B33063">
      <w:pPr>
        <w:ind w:firstLine="142"/>
        <w:jc w:val="both"/>
        <w:rPr>
          <w:rFonts w:ascii="Times New Roman" w:hAnsi="Times New Roman"/>
        </w:rPr>
      </w:pPr>
      <w:r>
        <w:rPr>
          <w:rFonts w:ascii="Times New Roman" w:hAnsi="Times New Roman"/>
        </w:rPr>
        <w:t>La quarta domenica di Pasqua è tradizionalmente dedicata</w:t>
      </w:r>
      <w:r w:rsidR="000B1C36">
        <w:rPr>
          <w:rFonts w:ascii="Times New Roman" w:hAnsi="Times New Roman"/>
        </w:rPr>
        <w:t xml:space="preserve"> poi</w:t>
      </w:r>
      <w:r>
        <w:rPr>
          <w:rFonts w:ascii="Times New Roman" w:hAnsi="Times New Roman"/>
        </w:rPr>
        <w:t xml:space="preserve"> alla lettura del capit</w:t>
      </w:r>
      <w:r>
        <w:rPr>
          <w:rFonts w:ascii="Times New Roman" w:hAnsi="Times New Roman"/>
        </w:rPr>
        <w:t>o</w:t>
      </w:r>
      <w:r>
        <w:rPr>
          <w:rFonts w:ascii="Times New Roman" w:hAnsi="Times New Roman"/>
        </w:rPr>
        <w:t>lo 10 di Giovanni, dove emerge la ben nota figura del “buon pastore”. Non si t</w:t>
      </w:r>
      <w:r w:rsidR="0084382B">
        <w:rPr>
          <w:rFonts w:ascii="Times New Roman" w:hAnsi="Times New Roman"/>
        </w:rPr>
        <w:t>ratta di una semplice allegoria</w:t>
      </w:r>
      <w:r>
        <w:rPr>
          <w:rFonts w:ascii="Times New Roman" w:hAnsi="Times New Roman"/>
        </w:rPr>
        <w:t>; il discorso enigmatico di Gesù intende sv</w:t>
      </w:r>
      <w:r>
        <w:rPr>
          <w:rFonts w:ascii="Times New Roman" w:hAnsi="Times New Roman"/>
        </w:rPr>
        <w:t>e</w:t>
      </w:r>
      <w:r>
        <w:rPr>
          <w:rFonts w:ascii="Times New Roman" w:hAnsi="Times New Roman"/>
        </w:rPr>
        <w:t>lare ai credenti un aspetto essenziale della sua persona. L’immagine del pastore a</w:t>
      </w:r>
      <w:r>
        <w:rPr>
          <w:rFonts w:ascii="Times New Roman" w:hAnsi="Times New Roman"/>
        </w:rPr>
        <w:t>f</w:t>
      </w:r>
      <w:r>
        <w:rPr>
          <w:rFonts w:ascii="Times New Roman" w:hAnsi="Times New Roman"/>
        </w:rPr>
        <w:t>fonda le sue radici in molti testi dell’Antico Testamento; basti pensare al Sal 23 (“il Signore è il mio past</w:t>
      </w:r>
      <w:r>
        <w:rPr>
          <w:rFonts w:ascii="Times New Roman" w:hAnsi="Times New Roman"/>
        </w:rPr>
        <w:t>o</w:t>
      </w:r>
      <w:r>
        <w:rPr>
          <w:rFonts w:ascii="Times New Roman" w:hAnsi="Times New Roman"/>
        </w:rPr>
        <w:t>re”), e, soprattutto, al testo di Ez</w:t>
      </w:r>
      <w:r w:rsidR="000B1C36">
        <w:rPr>
          <w:rFonts w:ascii="Times New Roman" w:hAnsi="Times New Roman"/>
        </w:rPr>
        <w:t>echiele</w:t>
      </w:r>
      <w:r>
        <w:rPr>
          <w:rFonts w:ascii="Times New Roman" w:hAnsi="Times New Roman"/>
        </w:rPr>
        <w:t xml:space="preserve"> 34: Dio afferma di v</w:t>
      </w:r>
      <w:r>
        <w:rPr>
          <w:rFonts w:ascii="Times New Roman" w:hAnsi="Times New Roman"/>
        </w:rPr>
        <w:t>o</w:t>
      </w:r>
      <w:r>
        <w:rPr>
          <w:rFonts w:ascii="Times New Roman" w:hAnsi="Times New Roman"/>
        </w:rPr>
        <w:t>ler essere lui il pastore d’Israele, dal momento che gli altri pastori (i re) si sono riv</w:t>
      </w:r>
      <w:r>
        <w:rPr>
          <w:rFonts w:ascii="Times New Roman" w:hAnsi="Times New Roman"/>
        </w:rPr>
        <w:t>e</w:t>
      </w:r>
      <w:r>
        <w:rPr>
          <w:rFonts w:ascii="Times New Roman" w:hAnsi="Times New Roman"/>
        </w:rPr>
        <w:t>lati infedeli; il contesto è dunque lo stesso di Gv 10,10-13. Il mestiere di pastore non è un mestiere facile e ne</w:t>
      </w:r>
      <w:r>
        <w:rPr>
          <w:rFonts w:ascii="Times New Roman" w:hAnsi="Times New Roman"/>
        </w:rPr>
        <w:t>l</w:t>
      </w:r>
      <w:r>
        <w:rPr>
          <w:rFonts w:ascii="Times New Roman" w:hAnsi="Times New Roman"/>
        </w:rPr>
        <w:t>la cultura ebraica, specialmente al tempo di Gesù, non è neppure tra i più stimati; o</w:t>
      </w:r>
      <w:r>
        <w:rPr>
          <w:rFonts w:ascii="Times New Roman" w:hAnsi="Times New Roman"/>
        </w:rPr>
        <w:t>g</w:t>
      </w:r>
      <w:r>
        <w:rPr>
          <w:rFonts w:ascii="Times New Roman" w:hAnsi="Times New Roman"/>
        </w:rPr>
        <w:t>gi ne abbiamo forse perso il ricordo, ma nel contesto di Gv 10 e dei testi che abbiamo citato serve bene ad esprime la sollecitudine e la cura di Dio per il suo popolo.</w:t>
      </w:r>
    </w:p>
    <w:p w:rsidR="004E5C93" w:rsidRDefault="004E5C93" w:rsidP="00B33063">
      <w:pPr>
        <w:ind w:firstLine="142"/>
        <w:jc w:val="both"/>
        <w:rPr>
          <w:rFonts w:ascii="Times New Roman" w:hAnsi="Times New Roman"/>
        </w:rPr>
      </w:pPr>
      <w:r>
        <w:rPr>
          <w:rFonts w:ascii="Times New Roman" w:hAnsi="Times New Roman"/>
        </w:rPr>
        <w:t>Di fronte a Gesù sta</w:t>
      </w:r>
      <w:r w:rsidR="000B1C36">
        <w:rPr>
          <w:rFonts w:ascii="Times New Roman" w:hAnsi="Times New Roman"/>
        </w:rPr>
        <w:t xml:space="preserve"> tuttavia</w:t>
      </w:r>
      <w:r>
        <w:rPr>
          <w:rFonts w:ascii="Times New Roman" w:hAnsi="Times New Roman"/>
        </w:rPr>
        <w:t xml:space="preserve"> il mercenario, che non si cura delle pecore; è difficile dire di chi stia realmente parlando Giovanni: dei capi giudei o, addirittura, dei pastori infedeli all’interno della comunità cristiana? La differenza tra il mercenario e il buon pastore è di due ordini: in primo luogo il buon pastore conosce le sue pecore ed è da esse conosciuto; evidentemente il mercenario non le conosce (Gv 10,5). Il verbo </w:t>
      </w:r>
      <w:r w:rsidR="000B1C36">
        <w:rPr>
          <w:rFonts w:ascii="Times New Roman" w:hAnsi="Times New Roman"/>
        </w:rPr>
        <w:t>“</w:t>
      </w:r>
      <w:r>
        <w:rPr>
          <w:rFonts w:ascii="Times New Roman" w:hAnsi="Times New Roman"/>
        </w:rPr>
        <w:t>c</w:t>
      </w:r>
      <w:r>
        <w:rPr>
          <w:rFonts w:ascii="Times New Roman" w:hAnsi="Times New Roman"/>
        </w:rPr>
        <w:t>o</w:t>
      </w:r>
      <w:r>
        <w:rPr>
          <w:rFonts w:ascii="Times New Roman" w:hAnsi="Times New Roman"/>
        </w:rPr>
        <w:t>noscere</w:t>
      </w:r>
      <w:r w:rsidR="000B1C36">
        <w:rPr>
          <w:rFonts w:ascii="Times New Roman" w:hAnsi="Times New Roman"/>
        </w:rPr>
        <w:t>”</w:t>
      </w:r>
      <w:r>
        <w:rPr>
          <w:rFonts w:ascii="Times New Roman" w:hAnsi="Times New Roman"/>
        </w:rPr>
        <w:t xml:space="preserve">, tipico del vocabolario giovanneo, indica </w:t>
      </w:r>
      <w:r w:rsidR="000B1C36">
        <w:rPr>
          <w:rFonts w:ascii="Times New Roman" w:hAnsi="Times New Roman"/>
        </w:rPr>
        <w:t>il</w:t>
      </w:r>
      <w:r>
        <w:rPr>
          <w:rFonts w:ascii="Times New Roman" w:hAnsi="Times New Roman"/>
        </w:rPr>
        <w:t xml:space="preserve"> fare esperienza profonda di qualcosa o di qualcuno: tra Gesù e le sue pecore esiste una relazione </w:t>
      </w:r>
      <w:r w:rsidR="000B1C36">
        <w:rPr>
          <w:rFonts w:ascii="Times New Roman" w:hAnsi="Times New Roman"/>
        </w:rPr>
        <w:t>profonda</w:t>
      </w:r>
      <w:r>
        <w:rPr>
          <w:rFonts w:ascii="Times New Roman" w:hAnsi="Times New Roman"/>
        </w:rPr>
        <w:t xml:space="preserve">, </w:t>
      </w:r>
      <w:r w:rsidR="000B1C36">
        <w:rPr>
          <w:rFonts w:ascii="Times New Roman" w:hAnsi="Times New Roman"/>
        </w:rPr>
        <w:t>anal</w:t>
      </w:r>
      <w:r w:rsidR="000B1C36">
        <w:rPr>
          <w:rFonts w:ascii="Times New Roman" w:hAnsi="Times New Roman"/>
        </w:rPr>
        <w:t>o</w:t>
      </w:r>
      <w:r w:rsidR="000B1C36">
        <w:rPr>
          <w:rFonts w:ascii="Times New Roman" w:hAnsi="Times New Roman"/>
        </w:rPr>
        <w:t>ga addirittura</w:t>
      </w:r>
      <w:r>
        <w:rPr>
          <w:rFonts w:ascii="Times New Roman" w:hAnsi="Times New Roman"/>
        </w:rPr>
        <w:t xml:space="preserve"> a quella che esiste tra lo stesso Gesù e il Padre. </w:t>
      </w:r>
      <w:r w:rsidR="000B1C36">
        <w:rPr>
          <w:rFonts w:ascii="Times New Roman" w:hAnsi="Times New Roman"/>
        </w:rPr>
        <w:t>Q</w:t>
      </w:r>
      <w:r>
        <w:rPr>
          <w:rFonts w:ascii="Times New Roman" w:hAnsi="Times New Roman"/>
        </w:rPr>
        <w:t>ui sta uno degli aspetti della salvezza pasquale: la possibilità di una comunione reale dei credenti con il P</w:t>
      </w:r>
      <w:r>
        <w:rPr>
          <w:rFonts w:ascii="Times New Roman" w:hAnsi="Times New Roman"/>
        </w:rPr>
        <w:t>a</w:t>
      </w:r>
      <w:r>
        <w:rPr>
          <w:rFonts w:ascii="Times New Roman" w:hAnsi="Times New Roman"/>
        </w:rPr>
        <w:t>dre attraverso Gesù.</w:t>
      </w:r>
      <w:r w:rsidR="000B1C36">
        <w:rPr>
          <w:rFonts w:ascii="Times New Roman" w:hAnsi="Times New Roman"/>
        </w:rPr>
        <w:t xml:space="preserve"> La fede è una questione di “conoscenza”, di un rapporto intimo e profondo con il Signore.</w:t>
      </w:r>
    </w:p>
    <w:p w:rsidR="004E5C93" w:rsidRDefault="004E5C93" w:rsidP="00B33063">
      <w:pPr>
        <w:ind w:firstLine="142"/>
        <w:jc w:val="both"/>
        <w:rPr>
          <w:rFonts w:ascii="Times New Roman" w:hAnsi="Times New Roman"/>
        </w:rPr>
      </w:pPr>
      <w:r>
        <w:rPr>
          <w:rFonts w:ascii="Times New Roman" w:hAnsi="Times New Roman"/>
        </w:rPr>
        <w:t>Usando una formula di autorivelazione molto frequente nel quarto Vangelo, Gesù afferma</w:t>
      </w:r>
      <w:r w:rsidR="000B1C36">
        <w:rPr>
          <w:rFonts w:ascii="Times New Roman" w:hAnsi="Times New Roman"/>
        </w:rPr>
        <w:t xml:space="preserve"> poi</w:t>
      </w:r>
      <w:r>
        <w:rPr>
          <w:rFonts w:ascii="Times New Roman" w:hAnsi="Times New Roman"/>
        </w:rPr>
        <w:t xml:space="preserve"> con decisione:</w:t>
      </w:r>
      <w:r w:rsidR="000B1C36">
        <w:rPr>
          <w:rFonts w:ascii="Times New Roman" w:hAnsi="Times New Roman"/>
        </w:rPr>
        <w:t xml:space="preserve"> “io sono il buon pastore”. La “</w:t>
      </w:r>
      <w:r>
        <w:rPr>
          <w:rFonts w:ascii="Times New Roman" w:hAnsi="Times New Roman"/>
        </w:rPr>
        <w:t>bontà</w:t>
      </w:r>
      <w:r w:rsidR="000B1C36">
        <w:rPr>
          <w:rFonts w:ascii="Times New Roman" w:hAnsi="Times New Roman"/>
        </w:rPr>
        <w:t>”</w:t>
      </w:r>
      <w:r>
        <w:rPr>
          <w:rFonts w:ascii="Times New Roman" w:hAnsi="Times New Roman"/>
        </w:rPr>
        <w:t xml:space="preserve">, </w:t>
      </w:r>
      <w:r w:rsidR="000B1C36">
        <w:rPr>
          <w:rFonts w:ascii="Times New Roman" w:hAnsi="Times New Roman"/>
        </w:rPr>
        <w:t>va</w:t>
      </w:r>
      <w:r>
        <w:rPr>
          <w:rFonts w:ascii="Times New Roman" w:hAnsi="Times New Roman"/>
        </w:rPr>
        <w:t xml:space="preserve"> subito</w:t>
      </w:r>
      <w:r w:rsidR="000B1C36">
        <w:rPr>
          <w:rFonts w:ascii="Times New Roman" w:hAnsi="Times New Roman"/>
        </w:rPr>
        <w:t xml:space="preserve"> notato</w:t>
      </w:r>
      <w:r>
        <w:rPr>
          <w:rFonts w:ascii="Times New Roman" w:hAnsi="Times New Roman"/>
        </w:rPr>
        <w:t xml:space="preserve">, non è tanto una caratteristica morale; il testo greco dice piuttosto </w:t>
      </w:r>
      <w:r>
        <w:rPr>
          <w:rFonts w:ascii="Times New Roman" w:hAnsi="Times New Roman"/>
          <w:i/>
        </w:rPr>
        <w:t>kalós,</w:t>
      </w:r>
      <w:r w:rsidR="000B1C36">
        <w:rPr>
          <w:rFonts w:ascii="Times New Roman" w:hAnsi="Times New Roman"/>
        </w:rPr>
        <w:t xml:space="preserve"> “</w:t>
      </w:r>
      <w:r>
        <w:rPr>
          <w:rFonts w:ascii="Times New Roman" w:hAnsi="Times New Roman"/>
        </w:rPr>
        <w:t>bello</w:t>
      </w:r>
      <w:r w:rsidR="000B1C36">
        <w:rPr>
          <w:rFonts w:ascii="Times New Roman" w:hAnsi="Times New Roman"/>
        </w:rPr>
        <w:t>”</w:t>
      </w:r>
      <w:r>
        <w:rPr>
          <w:rFonts w:ascii="Times New Roman" w:hAnsi="Times New Roman"/>
        </w:rPr>
        <w:t>, forse nel senso che Gesù è un riflesso della gloria di Dio (Gv 1,14)</w:t>
      </w:r>
      <w:r w:rsidR="00CB060C">
        <w:rPr>
          <w:rFonts w:ascii="Times New Roman" w:hAnsi="Times New Roman"/>
        </w:rPr>
        <w:t>, ma soprattutto nel se</w:t>
      </w:r>
      <w:r w:rsidR="00CB060C">
        <w:rPr>
          <w:rFonts w:ascii="Times New Roman" w:hAnsi="Times New Roman"/>
        </w:rPr>
        <w:t>n</w:t>
      </w:r>
      <w:r w:rsidR="00CB060C">
        <w:rPr>
          <w:rFonts w:ascii="Times New Roman" w:hAnsi="Times New Roman"/>
        </w:rPr>
        <w:t>so che Gesù compie alla perfezione, in modo “bello”, completo, l’opera di Dio: che è dare la vita per l’umanità, metaforicamente le sue “pecore”. E’ qual</w:t>
      </w:r>
      <w:r>
        <w:rPr>
          <w:rFonts w:ascii="Times New Roman" w:hAnsi="Times New Roman"/>
        </w:rPr>
        <w:t>cosa che non tutti i pastori fanno; qui sta la seconda differenza tra il buon pastore e il mercenario, che cura le pecore solo per interesse. La morte di Gesù, vista in tale prospettiva, non è tanto un fallimento, quanto piuttosto l’offerta volontaria della propria vita per le p</w:t>
      </w:r>
      <w:r>
        <w:rPr>
          <w:rFonts w:ascii="Times New Roman" w:hAnsi="Times New Roman"/>
        </w:rPr>
        <w:t>e</w:t>
      </w:r>
      <w:r>
        <w:rPr>
          <w:rFonts w:ascii="Times New Roman" w:hAnsi="Times New Roman"/>
        </w:rPr>
        <w:t>core, cioè per la salvezza degli uomini.</w:t>
      </w:r>
    </w:p>
    <w:p w:rsidR="006F25C8" w:rsidRDefault="004E5C93" w:rsidP="00B33063">
      <w:pPr>
        <w:ind w:firstLine="142"/>
        <w:jc w:val="both"/>
        <w:rPr>
          <w:rFonts w:ascii="Times New Roman" w:hAnsi="Times New Roman"/>
        </w:rPr>
      </w:pPr>
      <w:r>
        <w:rPr>
          <w:rFonts w:ascii="Times New Roman" w:hAnsi="Times New Roman"/>
        </w:rPr>
        <w:t>Il v. 16 aggiunge un tema nuovo: improvvisamente scopriamo come esista un altro gregge che dovrà unirsi al primo, formando una cosa sola</w:t>
      </w:r>
      <w:r w:rsidR="006F25C8">
        <w:rPr>
          <w:rFonts w:ascii="Times New Roman" w:hAnsi="Times New Roman"/>
        </w:rPr>
        <w:t>, un solo gregge e un solo pastore</w:t>
      </w:r>
      <w:r>
        <w:rPr>
          <w:rFonts w:ascii="Times New Roman" w:hAnsi="Times New Roman"/>
        </w:rPr>
        <w:t>. Si tratta</w:t>
      </w:r>
      <w:r w:rsidR="006F25C8">
        <w:rPr>
          <w:rFonts w:ascii="Times New Roman" w:hAnsi="Times New Roman"/>
        </w:rPr>
        <w:t xml:space="preserve"> qui</w:t>
      </w:r>
      <w:r>
        <w:rPr>
          <w:rFonts w:ascii="Times New Roman" w:hAnsi="Times New Roman"/>
        </w:rPr>
        <w:t xml:space="preserve"> dei cristiani provenienti dal paganesimo che dovranno unirsi a quelli provenienti dal giudaismo; l’unità del gregge, che i verbi al futuro vedono c</w:t>
      </w:r>
      <w:r>
        <w:rPr>
          <w:rFonts w:ascii="Times New Roman" w:hAnsi="Times New Roman"/>
        </w:rPr>
        <w:t>o</w:t>
      </w:r>
      <w:r>
        <w:rPr>
          <w:rFonts w:ascii="Times New Roman" w:hAnsi="Times New Roman"/>
        </w:rPr>
        <w:t xml:space="preserve">me un progetto ancora da realizzare </w:t>
      </w:r>
      <w:r>
        <w:rPr>
          <w:rFonts w:ascii="Times New Roman" w:hAnsi="Times New Roman"/>
          <w:i/>
        </w:rPr>
        <w:t>dopo</w:t>
      </w:r>
      <w:r>
        <w:rPr>
          <w:rFonts w:ascii="Times New Roman" w:hAnsi="Times New Roman"/>
        </w:rPr>
        <w:t xml:space="preserve"> la morte e resurrezione di Cristo, non è p</w:t>
      </w:r>
      <w:r>
        <w:rPr>
          <w:rFonts w:ascii="Times New Roman" w:hAnsi="Times New Roman"/>
        </w:rPr>
        <w:t>e</w:t>
      </w:r>
      <w:r>
        <w:rPr>
          <w:rFonts w:ascii="Times New Roman" w:hAnsi="Times New Roman"/>
        </w:rPr>
        <w:t xml:space="preserve">rò possibile se le </w:t>
      </w:r>
      <w:r w:rsidR="006F25C8">
        <w:rPr>
          <w:rFonts w:ascii="Times New Roman" w:hAnsi="Times New Roman"/>
        </w:rPr>
        <w:t>“</w:t>
      </w:r>
      <w:r>
        <w:rPr>
          <w:rFonts w:ascii="Times New Roman" w:hAnsi="Times New Roman"/>
        </w:rPr>
        <w:t>pecore</w:t>
      </w:r>
      <w:r w:rsidR="006F25C8">
        <w:rPr>
          <w:rFonts w:ascii="Times New Roman" w:hAnsi="Times New Roman"/>
        </w:rPr>
        <w:t>”</w:t>
      </w:r>
      <w:r>
        <w:rPr>
          <w:rFonts w:ascii="Times New Roman" w:hAnsi="Times New Roman"/>
        </w:rPr>
        <w:t xml:space="preserve"> non vogliono ascoltare la voce del pastore.</w:t>
      </w:r>
      <w:r w:rsidR="006F25C8">
        <w:rPr>
          <w:rFonts w:ascii="Times New Roman" w:hAnsi="Times New Roman"/>
        </w:rPr>
        <w:t xml:space="preserve"> Nel passato si leggeva questo testo in relazione alla chiesa cattolica, che avrebbe dovuto diventare l’unico gregge sotto l’unico pastore – Pietro, il papa! Ma Giovanni non intende su</w:t>
      </w:r>
      <w:r w:rsidR="006F25C8">
        <w:rPr>
          <w:rFonts w:ascii="Times New Roman" w:hAnsi="Times New Roman"/>
        </w:rPr>
        <w:t>g</w:t>
      </w:r>
      <w:r w:rsidR="006F25C8">
        <w:rPr>
          <w:rFonts w:ascii="Times New Roman" w:hAnsi="Times New Roman"/>
        </w:rPr>
        <w:t>gerire nulla del genere. L’unico pastore è Cristo e l’ideale proposto è quello di un’unica comunità di credenti unita da una sola realtà: la fede in lui.</w:t>
      </w:r>
    </w:p>
    <w:p w:rsidR="005432FE" w:rsidRDefault="005432FE" w:rsidP="00B33063">
      <w:pPr>
        <w:ind w:firstLine="142"/>
      </w:pPr>
    </w:p>
    <w:p w:rsidR="00CB060C" w:rsidRDefault="00CB060C" w:rsidP="00B33063">
      <w:pPr>
        <w:ind w:firstLine="142"/>
      </w:pPr>
    </w:p>
    <w:sectPr w:rsidR="00CB060C" w:rsidSect="000F0C76">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E5C93"/>
    <w:rsid w:val="000B1C36"/>
    <w:rsid w:val="000F0C76"/>
    <w:rsid w:val="0047546A"/>
    <w:rsid w:val="004C12C0"/>
    <w:rsid w:val="004E5C93"/>
    <w:rsid w:val="005432FE"/>
    <w:rsid w:val="006D679F"/>
    <w:rsid w:val="006F25C8"/>
    <w:rsid w:val="007A75EC"/>
    <w:rsid w:val="0084382B"/>
    <w:rsid w:val="00B33063"/>
    <w:rsid w:val="00CB060C"/>
    <w:rsid w:val="00D479DF"/>
    <w:rsid w:val="00F033C7"/>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C93"/>
    <w:pPr>
      <w:spacing w:after="0"/>
    </w:pPr>
    <w:rPr>
      <w:rFonts w:ascii="Times" w:eastAsia="Times New Roman" w:hAnsi="Times" w:cs="Times New Roman"/>
      <w:sz w:val="28"/>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jc w:val="both"/>
    </w:pPr>
    <w:rPr>
      <w:rFonts w:ascii="Times New Roman" w:eastAsia="Times" w:hAnsi="Times New Roman"/>
      <w:sz w:val="24"/>
    </w:rPr>
  </w:style>
  <w:style w:type="paragraph" w:styleId="Testonotadichiusura">
    <w:name w:val="endnote text"/>
    <w:basedOn w:val="Normale"/>
    <w:link w:val="TestonotadichiusuraCarattere"/>
    <w:rsid w:val="00836F64"/>
    <w:pPr>
      <w:jc w:val="both"/>
    </w:pPr>
    <w:rPr>
      <w:rFonts w:asciiTheme="minorHAnsi" w:eastAsiaTheme="minorHAnsi" w:hAnsiTheme="minorHAnsi" w:cstheme="minorBidi"/>
      <w:snapToGrid w:val="0"/>
      <w:sz w:val="24"/>
      <w:szCs w:val="24"/>
      <w:lang w:eastAsia="en-US"/>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1294</Words>
  <Characters>7377</Characters>
  <Application>Microsoft Macintosh Word</Application>
  <DocSecurity>0</DocSecurity>
  <Lines>61</Lines>
  <Paragraphs>14</Paragraphs>
  <ScaleCrop>false</ScaleCrop>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10</cp:revision>
  <cp:lastPrinted>2024-04-19T09:56:00Z</cp:lastPrinted>
  <dcterms:created xsi:type="dcterms:W3CDTF">2021-04-23T06:36:00Z</dcterms:created>
  <dcterms:modified xsi:type="dcterms:W3CDTF">2024-04-19T09:57:00Z</dcterms:modified>
</cp:coreProperties>
</file>